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AEEF" w14:textId="2B1FE7B5" w:rsidR="00540E2B" w:rsidRPr="00540E2B" w:rsidRDefault="00540E2B" w:rsidP="00C310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0E2B">
        <w:rPr>
          <w:b/>
          <w:bCs/>
          <w:sz w:val="24"/>
          <w:szCs w:val="24"/>
        </w:rPr>
        <w:t>Melanismus u krysy obecné – genetická analýza</w:t>
      </w:r>
    </w:p>
    <w:p w14:paraId="0D993AD3" w14:textId="727CC489" w:rsidR="00C310B6" w:rsidRDefault="00C310B6" w:rsidP="00C310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0B6">
        <w:rPr>
          <w:rFonts w:ascii="Times New Roman" w:hAnsi="Times New Roman" w:cs="Times New Roman"/>
          <w:sz w:val="24"/>
          <w:szCs w:val="24"/>
        </w:rPr>
        <w:t xml:space="preserve">Pigmentace u savců je výsledek syntézy a distribuce barviva melaninu, který se vyskytuje ve dvou základních typech, a to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eumelanin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(hnědá až černá) a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phaeomelanin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(červenohnědá až žlutá). Melanismus je stav charakterizovaný abnormálním uložením melaninu v kůži a peří, kdy abnormálním uložením rozumíme jak změnu v jeho distribuci, tak navýšení jeho množství (van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Grouw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>, 2017). Intenzivní výzkum genetického původu zbarvení u savců byl soustředěn především na modelový druh organismu, myš domácí, u které byly mapováním zjištěny mutace v genech ovlivňujících zbarvení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Protas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a Patel, 2008). U savců bylo nalezeno více než 100 genů, které se podílí na výsledném zbarvení organismu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Benett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Lamoreux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Barsh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, 1996). Nejvíce prozkoumanou skupinou genů podílející se na pigmentaci savců jsou geny tzv.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melanokortinového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systému řídící přepínání mezi syntézou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eumelaninu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phaeomelaninu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>, které se dále projevují ve fyziologických a behaviorálních vlastnostech organismu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Protas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a Patel, 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10B6">
        <w:rPr>
          <w:rFonts w:ascii="Times New Roman" w:hAnsi="Times New Roman" w:cs="Times New Roman"/>
          <w:sz w:val="24"/>
          <w:szCs w:val="24"/>
        </w:rPr>
        <w:t xml:space="preserve">. Do této skupiny </w:t>
      </w:r>
      <w:proofErr w:type="gramStart"/>
      <w:r w:rsidRPr="00C310B6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Pr="00C310B6">
        <w:rPr>
          <w:rFonts w:ascii="Times New Roman" w:hAnsi="Times New Roman" w:cs="Times New Roman"/>
          <w:sz w:val="24"/>
          <w:szCs w:val="24"/>
        </w:rPr>
        <w:t xml:space="preserve"> především geny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Pomc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Proopiomelanocortin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Msh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(Melanocyt-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stimulating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hormone),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Mcr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Melanocortin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receptor),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Asip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Agouti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protein) a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Agrp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Agouti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protein)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Ducrest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kol., 2008</w:t>
      </w:r>
      <w:r w:rsidRPr="00C310B6">
        <w:rPr>
          <w:rFonts w:ascii="Times New Roman" w:hAnsi="Times New Roman" w:cs="Times New Roman"/>
          <w:sz w:val="24"/>
          <w:szCs w:val="24"/>
        </w:rPr>
        <w:t>). Melanismus, jako adaptivní změn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10B6">
        <w:rPr>
          <w:rFonts w:ascii="Times New Roman" w:hAnsi="Times New Roman" w:cs="Times New Roman"/>
          <w:sz w:val="24"/>
          <w:szCs w:val="24"/>
        </w:rPr>
        <w:t xml:space="preserve"> fenotypu na prostředí výskytu jedince, kterou se podařilo propojit i se změnou genotypu, byl popsán u populací hlodavců, např. u pytlouše skalního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Chaetodipus</w:t>
      </w:r>
      <w:proofErr w:type="spellEnd"/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intermedius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. Genetické analýzy jasně prokázaly, že v případě jedné ze zkoumaných populací měli všichni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melaničtí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jedinci mutace v genu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Mc1r</w:t>
      </w:r>
      <w:r w:rsidRPr="00C310B6">
        <w:rPr>
          <w:rFonts w:ascii="Times New Roman" w:hAnsi="Times New Roman" w:cs="Times New Roman"/>
          <w:sz w:val="24"/>
          <w:szCs w:val="24"/>
        </w:rPr>
        <w:t xml:space="preserve">. Naopak u dalších zkoumaných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melanických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populací žijících na lávovém povrchu, které byly prostorově izolovány prostředím se světlým povrchem s výskytem světlých forem zbarvení jedinců, se mutace v genu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Mc1r</w:t>
      </w:r>
      <w:r w:rsidRPr="00C310B6">
        <w:rPr>
          <w:rFonts w:ascii="Times New Roman" w:hAnsi="Times New Roman" w:cs="Times New Roman"/>
          <w:sz w:val="24"/>
          <w:szCs w:val="24"/>
        </w:rPr>
        <w:t xml:space="preserve"> neprokázaly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Nachman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a kol., 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01">
        <w:rPr>
          <w:rFonts w:ascii="Times New Roman" w:hAnsi="Times New Roman" w:cs="Times New Roman"/>
          <w:sz w:val="24"/>
          <w:szCs w:val="24"/>
        </w:rPr>
        <w:t>Tento příklad ukazuje na různý genetický původ stejného fenotypového projevu melanismu.</w:t>
      </w:r>
    </w:p>
    <w:p w14:paraId="38931F64" w14:textId="6C61E3A7" w:rsidR="00C310B6" w:rsidRDefault="00C310B6" w:rsidP="00C310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0B6">
        <w:rPr>
          <w:rFonts w:ascii="Times New Roman" w:hAnsi="Times New Roman" w:cs="Times New Roman"/>
          <w:sz w:val="24"/>
          <w:szCs w:val="24"/>
        </w:rPr>
        <w:t>V krysích populacích se vyskytují současně hnědé i černé formy</w:t>
      </w:r>
      <w:r>
        <w:rPr>
          <w:rFonts w:ascii="Times New Roman" w:hAnsi="Times New Roman" w:cs="Times New Roman"/>
          <w:sz w:val="24"/>
          <w:szCs w:val="24"/>
        </w:rPr>
        <w:t xml:space="preserve"> jedinců</w:t>
      </w:r>
      <w:r w:rsidRPr="00C310B6">
        <w:rPr>
          <w:rFonts w:ascii="Times New Roman" w:hAnsi="Times New Roman" w:cs="Times New Roman"/>
          <w:sz w:val="24"/>
          <w:szCs w:val="24"/>
        </w:rPr>
        <w:t xml:space="preserve">. Černé zbarvené vzniklo u krys paralelně mutacemi nejméně dvou různých genů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Mc1r</w:t>
      </w:r>
      <w:r w:rsidRPr="00C310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Asip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>. Barevný polymorfismus se v krysích populacích udržuje navzdory specifické kolonizační historii, během které lze očekávat časté a výrazné demografické změny, při kterých bychom očekávali převládnutí jen jedné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10B6">
        <w:rPr>
          <w:rFonts w:ascii="Times New Roman" w:hAnsi="Times New Roman" w:cs="Times New Roman"/>
          <w:sz w:val="24"/>
          <w:szCs w:val="24"/>
        </w:rPr>
        <w:t>forem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C310B6">
        <w:rPr>
          <w:rFonts w:ascii="Times New Roman" w:hAnsi="Times New Roman" w:cs="Times New Roman"/>
          <w:sz w:val="24"/>
          <w:szCs w:val="24"/>
        </w:rPr>
        <w:t xml:space="preserve"> díky náhodným procesům (drift, surfing). Je tedy možné, že za současný výskyt obou forem je zodpovědná selekce udržující polymorfismus (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). Tomu by také napovídaly pilotní experimenty s krysami v zajetí, které nasvědčují odlišnému chování barevných forem. Rozšíření krysy zasahuje i na území České republiky, kde se vyskytují obě formy a odkud jsou dostupné vzorky pro izolaci DNA z různých lokalit. Cílem diplomové práce bude: 1) Pomocí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sekvenování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Mc1r </w:t>
      </w:r>
      <w:r w:rsidRPr="00C310B6">
        <w:rPr>
          <w:rFonts w:ascii="Times New Roman" w:hAnsi="Times New Roman" w:cs="Times New Roman"/>
          <w:sz w:val="24"/>
          <w:szCs w:val="24"/>
        </w:rPr>
        <w:t>(případně dalších kandidátních genů, především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10B6">
        <w:rPr>
          <w:rFonts w:ascii="Times New Roman" w:hAnsi="Times New Roman" w:cs="Times New Roman"/>
          <w:i/>
          <w:iCs/>
          <w:sz w:val="24"/>
          <w:szCs w:val="24"/>
        </w:rPr>
        <w:t>Asip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>)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0B6">
        <w:rPr>
          <w:rFonts w:ascii="Times New Roman" w:hAnsi="Times New Roman" w:cs="Times New Roman"/>
          <w:sz w:val="24"/>
          <w:szCs w:val="24"/>
        </w:rPr>
        <w:t xml:space="preserve">zjistit, jaká </w:t>
      </w:r>
      <w:r w:rsidRPr="00C310B6">
        <w:rPr>
          <w:rFonts w:ascii="Times New Roman" w:hAnsi="Times New Roman" w:cs="Times New Roman"/>
          <w:sz w:val="24"/>
          <w:szCs w:val="24"/>
        </w:rPr>
        <w:lastRenderedPageBreak/>
        <w:t xml:space="preserve">mutace a kterého genu je zodpovědná za černé zbarvení krys z České republiky 2) Pokud se jedná o známou mutaci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310B6">
        <w:rPr>
          <w:rFonts w:ascii="Times New Roman" w:hAnsi="Times New Roman" w:cs="Times New Roman"/>
          <w:sz w:val="24"/>
          <w:szCs w:val="24"/>
        </w:rPr>
        <w:t>c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1r</w:t>
      </w:r>
      <w:r w:rsidRPr="00C310B6">
        <w:rPr>
          <w:rFonts w:ascii="Times New Roman" w:hAnsi="Times New Roman" w:cs="Times New Roman"/>
          <w:sz w:val="24"/>
          <w:szCs w:val="24"/>
        </w:rPr>
        <w:t xml:space="preserve">, prověřit pomocí fylogeneze alel, zda nedošlo k opakované mutaci na stejném místě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10B6">
        <w:rPr>
          <w:rFonts w:ascii="Times New Roman" w:hAnsi="Times New Roman" w:cs="Times New Roman"/>
          <w:sz w:val="24"/>
          <w:szCs w:val="24"/>
        </w:rPr>
        <w:t xml:space="preserve">3) Pomocí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sekvenování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kontrolní oblasti mitochondriální DNA a srovnáním se známými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haplotypy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prozkoumat, k jaké migrační vlně se vztahuje kolonizace území České republiky a nakolik jsou naše populace heterogenní 4) Pokud se podaří získat vzorky z jiných míst, zopakovat postup 1-3, tedy ověřit mutace zodpovědné za melanismus a zjistit původ pomocí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haplotypů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kontrolní oblasti mitochondriální DNA 4) Pokusit se detekovat balancující selekci na základě nahromaděných molekulárních dat. Protože signál selekce může být podobný signálu způsobenému demografickými změnami, bude vhodné srovnat signál na 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310B6">
        <w:rPr>
          <w:rFonts w:ascii="Times New Roman" w:hAnsi="Times New Roman" w:cs="Times New Roman"/>
          <w:sz w:val="24"/>
          <w:szCs w:val="24"/>
        </w:rPr>
        <w:t>c</w:t>
      </w:r>
      <w:r w:rsidRPr="00C310B6">
        <w:rPr>
          <w:rFonts w:ascii="Times New Roman" w:hAnsi="Times New Roman" w:cs="Times New Roman"/>
          <w:i/>
          <w:iCs/>
          <w:sz w:val="24"/>
          <w:szCs w:val="24"/>
        </w:rPr>
        <w:t xml:space="preserve">1r </w:t>
      </w:r>
      <w:r w:rsidRPr="00C310B6">
        <w:rPr>
          <w:rFonts w:ascii="Times New Roman" w:hAnsi="Times New Roman" w:cs="Times New Roman"/>
          <w:sz w:val="24"/>
          <w:szCs w:val="24"/>
        </w:rPr>
        <w:t xml:space="preserve">se signálem na mitochondriální DNA. Při nedostatečném signálu je možné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prosekvenovat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delší oblasti u vybraných vzorků. Pro design </w:t>
      </w:r>
      <w:proofErr w:type="spellStart"/>
      <w:r w:rsidRPr="00C310B6">
        <w:rPr>
          <w:rFonts w:ascii="Times New Roman" w:hAnsi="Times New Roman" w:cs="Times New Roman"/>
          <w:sz w:val="24"/>
          <w:szCs w:val="24"/>
        </w:rPr>
        <w:t>primerů</w:t>
      </w:r>
      <w:proofErr w:type="spellEnd"/>
      <w:r w:rsidRPr="00C310B6">
        <w:rPr>
          <w:rFonts w:ascii="Times New Roman" w:hAnsi="Times New Roman" w:cs="Times New Roman"/>
          <w:sz w:val="24"/>
          <w:szCs w:val="24"/>
        </w:rPr>
        <w:t xml:space="preserve"> lze využít dostupný genom potkana</w:t>
      </w:r>
    </w:p>
    <w:p w14:paraId="5C7C5537" w14:textId="77777777" w:rsidR="00540E2B" w:rsidRDefault="00540E2B" w:rsidP="00C310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C4842D" w14:textId="77777777" w:rsidR="00540E2B" w:rsidRDefault="00540E2B" w:rsidP="00540E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0E2B">
        <w:rPr>
          <w:rFonts w:ascii="Times New Roman" w:hAnsi="Times New Roman" w:cs="Times New Roman"/>
          <w:sz w:val="24"/>
          <w:szCs w:val="24"/>
        </w:rPr>
        <w:t>Literatura</w:t>
      </w:r>
    </w:p>
    <w:p w14:paraId="6171133E" w14:textId="77777777" w:rsid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Barsh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G. S. (1996).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genetics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pigmentation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from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fancy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complex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traits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Trends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Genetics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12(8), 299-305. </w:t>
      </w:r>
      <w:hyperlink r:id="rId5" w:history="1">
        <w:r w:rsidRPr="00540E2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https://doi.org/10.1016/0168-9525(96)10031-7</w:t>
        </w:r>
      </w:hyperlink>
    </w:p>
    <w:p w14:paraId="49FDAC4B" w14:textId="77777777" w:rsid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Bennett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D.C., </w:t>
      </w:r>
      <w:r w:rsidRPr="00540E2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&amp;</w:t>
      </w:r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Lamoreux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M.L. (2003).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color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loci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mice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--a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genetic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century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Pigment Cell Res. 16(4), 333-44. </w:t>
      </w:r>
      <w:hyperlink r:id="rId6" w:history="1">
        <w:r w:rsidRPr="00540E2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https://doi.org/10.1034/j.1600-0749.2003.00067.x</w:t>
        </w:r>
      </w:hyperlink>
    </w:p>
    <w:p w14:paraId="2F2BA950" w14:textId="77777777" w:rsid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Ducrest, A-L., Keller, L., </w:t>
      </w:r>
      <w:r w:rsidRPr="00540E2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&amp;</w:t>
      </w:r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E2B">
        <w:rPr>
          <w:rFonts w:ascii="Times New Roman" w:hAnsi="Times New Roman" w:cs="Times New Roman"/>
          <w:sz w:val="24"/>
          <w:szCs w:val="24"/>
          <w:lang w:val="en-US"/>
        </w:rPr>
        <w:t>Roulin</w:t>
      </w:r>
      <w:proofErr w:type="spellEnd"/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, A. (2008) Pleiotropy in the melanocortin system, </w:t>
      </w:r>
      <w:proofErr w:type="gramStart"/>
      <w:r w:rsidRPr="00540E2B">
        <w:rPr>
          <w:rFonts w:ascii="Times New Roman" w:hAnsi="Times New Roman" w:cs="Times New Roman"/>
          <w:sz w:val="24"/>
          <w:szCs w:val="24"/>
          <w:lang w:val="en-US"/>
        </w:rPr>
        <w:t>coloration</w:t>
      </w:r>
      <w:proofErr w:type="gramEnd"/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40E2B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 syndromes. Trends in Ecology and Evolution, 23(9), 502-510. </w:t>
      </w:r>
      <w:hyperlink r:id="rId7" w:history="1">
        <w:r w:rsidRPr="00540E2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https://doi.org/10.1016/j.tree.2008.06.001</w:t>
        </w:r>
      </w:hyperlink>
    </w:p>
    <w:p w14:paraId="6882D12C" w14:textId="6B5F6F5A" w:rsid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Nachman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M. W.,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Hoekstra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H. E., </w:t>
      </w:r>
      <w:r w:rsidRPr="00540E2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&amp;</w:t>
      </w:r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D'Agostino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S.L. (2003).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genetic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basis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adaptive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melanism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pocket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mice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PNAS, 100(9), 5268-5273.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hyperlink r:id="rId8" w:history="1">
        <w:r w:rsidRPr="003B7414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https://doi.org/10.1073/pnas.0431157100</w:t>
        </w:r>
      </w:hyperlink>
    </w:p>
    <w:p w14:paraId="3DF4E115" w14:textId="77777777" w:rsid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Protas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M.E., &amp; Patel, N. H. (2008).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Evolution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coloration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patterns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Annual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Review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Pr="00540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Cell and Development Biology 24, 425-46. </w:t>
      </w:r>
      <w:hyperlink r:id="rId9" w:history="1">
        <w:r w:rsidRPr="00540E2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https://doi.org/10.1146/annurev.cellbio.24.110707.175302</w:t>
        </w:r>
      </w:hyperlink>
    </w:p>
    <w:p w14:paraId="32E849CD" w14:textId="68BD3706" w:rsidR="00540E2B" w:rsidRPr="00540E2B" w:rsidRDefault="00540E2B" w:rsidP="00540E2B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0E2B">
        <w:rPr>
          <w:rFonts w:ascii="Times New Roman" w:hAnsi="Times New Roman" w:cs="Times New Roman"/>
          <w:sz w:val="24"/>
          <w:szCs w:val="24"/>
          <w:lang w:val="en-US"/>
        </w:rPr>
        <w:t xml:space="preserve">van Grouw, H. (2017). The dark side of birds: melanism—facts and fiction. Bulletin of the British Ornithologists’ Club, 137(1), 12-36. </w:t>
      </w:r>
      <w:hyperlink r:id="rId10" w:history="1">
        <w:r w:rsidRPr="00540E2B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https://doi.org/10.25226/bboc.v137i1.2017.a9</w:t>
        </w:r>
      </w:hyperlink>
    </w:p>
    <w:p w14:paraId="10A292F6" w14:textId="77777777" w:rsidR="00540E2B" w:rsidRDefault="00540E2B" w:rsidP="00C310B6">
      <w:pPr>
        <w:spacing w:after="0" w:line="360" w:lineRule="auto"/>
      </w:pPr>
    </w:p>
    <w:sectPr w:rsidR="0054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21CB"/>
    <w:multiLevelType w:val="hybridMultilevel"/>
    <w:tmpl w:val="EFB20700"/>
    <w:lvl w:ilvl="0" w:tplc="FFA27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6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B6"/>
    <w:rsid w:val="00540E2B"/>
    <w:rsid w:val="00C310B6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9C42"/>
  <w15:chartTrackingRefBased/>
  <w15:docId w15:val="{EDE7C963-628A-4F64-BF0A-6029087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31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10B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10B6"/>
    <w:rPr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C310B6"/>
    <w:pPr>
      <w:ind w:left="720"/>
      <w:contextualSpacing/>
    </w:pPr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40E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0E2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0431157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tree.2008.06.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4/j.1600-0749.2003.00067.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0168-9525(96)10031-7" TargetMode="External"/><Relationship Id="rId10" Type="http://schemas.openxmlformats.org/officeDocument/2006/relationships/hyperlink" Target="https://doi.org/10.25226/bboc.v137i1.2017.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6/annurev.cellbio.24.110707.17530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Slavikova</dc:creator>
  <cp:keywords/>
  <dc:description/>
  <cp:lastModifiedBy>Alena Slavikova</cp:lastModifiedBy>
  <cp:revision>2</cp:revision>
  <dcterms:created xsi:type="dcterms:W3CDTF">2023-10-23T19:35:00Z</dcterms:created>
  <dcterms:modified xsi:type="dcterms:W3CDTF">2023-10-23T19:35:00Z</dcterms:modified>
</cp:coreProperties>
</file>